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3"/>
        <w:bidi w:val="1"/>
        <w:jc w:val="center"/>
        <w:rPr>
          <w:rFonts w:ascii="Arial" w:hAnsi="Arial" w:eastAsia="Times New Roman" w:cs="Arial"/>
          <w:b/>
          <w:b/>
          <w:sz w:val="36"/>
          <w:lang w:eastAsia="en-US"/>
        </w:rPr>
      </w:pPr>
      <w:r>
        <w:rPr>
          <w:rFonts w:ascii="Arial" w:hAnsi="Arial" w:eastAsia="Times New Roman" w:cs="Arial"/>
          <w:b/>
          <w:b/>
          <w:bCs/>
          <w:sz w:val="36"/>
          <w:sz w:val="36"/>
          <w:szCs w:val="36"/>
          <w:rtl w:val="true"/>
          <w:lang w:eastAsia="en-US"/>
        </w:rPr>
        <w:t xml:space="preserve">نموذج جدول محتويات </w:t>
      </w:r>
    </w:p>
    <w:p>
      <w:pPr>
        <w:pStyle w:val="Style23"/>
        <w:bidi w:val="1"/>
        <w:jc w:val="left"/>
        <w:rPr>
          <w:rFonts w:ascii="Arial" w:hAnsi="Arial" w:eastAsia="Times New Roman" w:cs="Arial"/>
          <w:b/>
          <w:b/>
          <w:sz w:val="36"/>
          <w:lang w:eastAsia="en-US"/>
        </w:rPr>
      </w:pPr>
      <w:r>
        <w:rPr>
          <w:rFonts w:eastAsia="Times New Roman" w:cs="Arial" w:ascii="Arial" w:hAnsi="Arial"/>
          <w:b/>
          <w:sz w:val="36"/>
          <w:rtl w:val="true"/>
          <w:lang w:eastAsia="en-US"/>
        </w:rPr>
      </w:r>
    </w:p>
    <w:p>
      <w:pPr>
        <w:pStyle w:val="Style23"/>
        <w:bidi w:val="1"/>
        <w:jc w:val="left"/>
        <w:rPr/>
      </w:pPr>
      <w:r>
        <w:rPr>
          <w:rFonts w:ascii="Arial" w:hAnsi="Arial" w:eastAsia="Times New Roman" w:cs="Arial"/>
          <w:sz w:val="26"/>
          <w:sz w:val="26"/>
          <w:szCs w:val="26"/>
          <w:rtl w:val="true"/>
          <w:lang w:eastAsia="en-US"/>
        </w:rPr>
        <w:t>يرجى ملاحظة</w:t>
      </w:r>
      <w:r>
        <w:rPr>
          <w:rFonts w:eastAsia="Times New Roman" w:cs="Arial" w:ascii="Arial" w:hAnsi="Arial"/>
          <w:sz w:val="26"/>
          <w:szCs w:val="26"/>
          <w:rtl w:val="true"/>
          <w:lang w:eastAsia="en-US"/>
        </w:rPr>
        <w:t xml:space="preserve">: </w:t>
      </w:r>
      <w:r>
        <w:rPr>
          <w:rFonts w:ascii="Arial" w:hAnsi="Arial" w:eastAsia="Times New Roman" w:cs="Arial"/>
          <w:sz w:val="26"/>
          <w:sz w:val="26"/>
          <w:szCs w:val="26"/>
          <w:rtl w:val="true"/>
          <w:lang w:eastAsia="en-US"/>
        </w:rPr>
        <w:t>هذا مجرد مثال</w:t>
      </w:r>
      <w:r>
        <w:rPr>
          <w:rFonts w:eastAsia="Times New Roman" w:cs="Arial" w:ascii="Arial" w:hAnsi="Arial"/>
          <w:sz w:val="26"/>
          <w:szCs w:val="26"/>
          <w:rtl w:val="true"/>
          <w:lang w:eastAsia="en-US"/>
        </w:rPr>
        <w:t xml:space="preserve">. </w:t>
      </w:r>
      <w:r>
        <w:rPr>
          <w:rFonts w:ascii="Arial" w:hAnsi="Arial" w:eastAsia="Times New Roman" w:cs="Arial"/>
          <w:sz w:val="26"/>
          <w:sz w:val="26"/>
          <w:szCs w:val="26"/>
          <w:rtl w:val="true"/>
          <w:lang w:eastAsia="en-US"/>
        </w:rPr>
        <w:t>لكل مدرسة مواصفاتها الخاصة ، وبعضها أكثر صرامة من البعض الآخر</w:t>
      </w:r>
      <w:r>
        <w:rPr>
          <w:rFonts w:eastAsia="Times New Roman" w:cs="Arial" w:ascii="Arial" w:hAnsi="Arial"/>
          <w:sz w:val="26"/>
          <w:szCs w:val="26"/>
          <w:rtl w:val="true"/>
          <w:lang w:eastAsia="en-US"/>
        </w:rPr>
        <w:t xml:space="preserve">. </w:t>
      </w:r>
      <w:r>
        <w:rPr>
          <w:rFonts w:ascii="Arial" w:hAnsi="Arial" w:eastAsia="Times New Roman" w:cs="Arial"/>
          <w:sz w:val="26"/>
          <w:sz w:val="26"/>
          <w:szCs w:val="26"/>
          <w:rtl w:val="true"/>
          <w:lang w:eastAsia="en-US"/>
        </w:rPr>
        <w:t>علاوة على ذلك ، فإن كل أطروحة مختلفة وسيكون لها تأكيدات مختلفة في أقسام معينة</w:t>
      </w:r>
      <w:r>
        <w:rPr>
          <w:rFonts w:eastAsia="Times New Roman" w:cs="Arial" w:ascii="Arial" w:hAnsi="Arial"/>
          <w:sz w:val="26"/>
          <w:szCs w:val="26"/>
          <w:rtl w:val="true"/>
          <w:lang w:eastAsia="en-US"/>
        </w:rPr>
        <w:t>.</w:t>
      </w:r>
    </w:p>
    <w:p>
      <w:pPr>
        <w:pStyle w:val="Normal"/>
        <w:bidi w:val="1"/>
        <w:jc w:val="left"/>
        <w:rPr>
          <w:rFonts w:cs="Arial"/>
          <w:b/>
          <w:b/>
          <w:sz w:val="26"/>
          <w:szCs w:val="26"/>
          <w:lang w:val="en-AU"/>
        </w:rPr>
      </w:pPr>
      <w:r>
        <w:rPr>
          <w:rFonts w:cs="Arial"/>
          <w:b/>
          <w:sz w:val="26"/>
          <w:szCs w:val="26"/>
          <w:rtl w:val="true"/>
          <w:lang w:val="en-AU"/>
        </w:rPr>
      </w:r>
    </w:p>
    <w:p>
      <w:pPr>
        <w:pStyle w:val="PretendTOC"/>
        <w:bidi w:val="1"/>
        <w:jc w:val="center"/>
        <w:rPr>
          <w:rFonts w:cs="Arial"/>
          <w:b/>
          <w:b/>
          <w:bCs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جدول المحتويات</w:t>
      </w:r>
    </w:p>
    <w:p>
      <w:pPr>
        <w:pStyle w:val="PretendTOC"/>
        <w:bidi w:val="1"/>
        <w:jc w:val="center"/>
        <w:rPr>
          <w:rFonts w:cs="Arial"/>
          <w:b/>
          <w:b/>
          <w:bCs/>
          <w:sz w:val="26"/>
          <w:szCs w:val="26"/>
          <w:lang w:val="en-AU"/>
        </w:rPr>
      </w:pPr>
      <w:r>
        <w:rPr>
          <w:rFonts w:cs="Arial"/>
          <w:b/>
          <w:bCs/>
          <w:sz w:val="26"/>
          <w:szCs w:val="26"/>
          <w:rtl w:val="true"/>
          <w:lang w:val="en-AU"/>
        </w:rPr>
      </w:r>
    </w:p>
    <w:p>
      <w:pPr>
        <w:pStyle w:val="PretendTOC"/>
        <w:bidi w:val="1"/>
        <w:jc w:val="left"/>
        <w:rPr>
          <w:b/>
          <w:b/>
          <w:bCs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نبذة مختصرة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sz w:val="26"/>
          <w:sz w:val="26"/>
          <w:szCs w:val="26"/>
          <w:rtl w:val="true"/>
          <w:lang w:val="en-AU"/>
        </w:rPr>
        <w:t>أنا</w:t>
      </w:r>
    </w:p>
    <w:p>
      <w:pPr>
        <w:pStyle w:val="PretendTOC"/>
        <w:bidi w:val="1"/>
        <w:jc w:val="left"/>
        <w:rPr>
          <w:b/>
          <w:b/>
          <w:bCs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جدول المحتويات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sz w:val="26"/>
          <w:sz w:val="26"/>
          <w:szCs w:val="26"/>
          <w:rtl w:val="true"/>
          <w:lang w:val="en-AU"/>
        </w:rPr>
        <w:t>ثانيا</w:t>
      </w:r>
    </w:p>
    <w:p>
      <w:pPr>
        <w:pStyle w:val="PretendTOC"/>
        <w:bidi w:val="1"/>
        <w:jc w:val="left"/>
        <w:rPr>
          <w:b/>
          <w:b/>
          <w:bCs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شكر وتقدير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sz w:val="26"/>
          <w:sz w:val="26"/>
          <w:szCs w:val="26"/>
          <w:rtl w:val="true"/>
          <w:lang w:val="en-AU"/>
        </w:rPr>
        <w:t>الخامس</w:t>
      </w:r>
    </w:p>
    <w:p>
      <w:pPr>
        <w:pStyle w:val="PretendTOC"/>
        <w:bidi w:val="1"/>
        <w:jc w:val="left"/>
        <w:rPr>
          <w:b/>
          <w:b/>
          <w:bCs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قائمة جداول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sz w:val="26"/>
          <w:sz w:val="26"/>
          <w:szCs w:val="26"/>
          <w:rtl w:val="true"/>
          <w:lang w:val="en-AU"/>
        </w:rPr>
        <w:t>السادس</w:t>
      </w:r>
    </w:p>
    <w:p>
      <w:pPr>
        <w:pStyle w:val="PretendTOC"/>
        <w:bidi w:val="1"/>
        <w:jc w:val="left"/>
        <w:rPr>
          <w:b/>
          <w:b/>
          <w:bCs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قائمة الأشكال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sz w:val="26"/>
          <w:sz w:val="26"/>
          <w:szCs w:val="26"/>
          <w:rtl w:val="true"/>
          <w:lang w:val="en-AU"/>
        </w:rPr>
        <w:t>السابع</w:t>
      </w:r>
    </w:p>
    <w:p>
      <w:pPr>
        <w:pStyle w:val="PretendTOC"/>
        <w:bidi w:val="1"/>
        <w:jc w:val="left"/>
        <w:rPr>
          <w:rFonts w:cs="Arial"/>
          <w:sz w:val="26"/>
          <w:szCs w:val="26"/>
          <w:lang w:val="en-AU"/>
        </w:rPr>
      </w:pPr>
      <w:r>
        <w:rPr>
          <w:b/>
          <w:b/>
          <w:bCs/>
          <w:sz w:val="26"/>
          <w:sz w:val="26"/>
          <w:szCs w:val="26"/>
          <w:rtl w:val="true"/>
          <w:lang w:val="en-AU"/>
        </w:rPr>
        <w:t>قائمة الاختصارات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sz w:val="26"/>
          <w:sz w:val="26"/>
          <w:szCs w:val="26"/>
          <w:rtl w:val="true"/>
          <w:lang w:val="en-AU"/>
        </w:rPr>
        <w:t>ثامنا</w:t>
      </w:r>
    </w:p>
    <w:p>
      <w:pPr>
        <w:pStyle w:val="PretendTOC"/>
        <w:bidi w:val="1"/>
        <w:jc w:val="left"/>
        <w:rPr>
          <w:rFonts w:cs="Arial"/>
          <w:sz w:val="26"/>
          <w:szCs w:val="26"/>
          <w:lang w:val="en-AU"/>
        </w:rPr>
      </w:pPr>
      <w:r>
        <w:rPr>
          <w:rFonts w:cs="Arial"/>
          <w:sz w:val="26"/>
          <w:szCs w:val="26"/>
          <w:lang w:val="en-AU"/>
        </w:rPr>
        <w:t>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المقدمة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فيروس التهاب الكبد الوبائي سي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1.1.1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الاكتشاف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1.1.2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علم الأوبئة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1.1.3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التسبب في المرض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1.1.4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العلاج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البيولوجيا الجزيئية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1.2.1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بنية الجينوم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1.2.2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التباين الجيني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1.2.3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الاختلافات الوراثية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8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نشاط بوليميريز الحمض النووي الريبي المعتمد على الحمض النووي الريبي </w:t>
      </w:r>
      <w:r>
        <w:rPr>
          <w:rFonts w:cs="Arial"/>
          <w:sz w:val="26"/>
          <w:szCs w:val="26"/>
          <w:lang w:val="en-AU"/>
        </w:rPr>
        <w:t>9</w:t>
      </w:r>
      <w:r>
        <w:rPr>
          <w:rFonts w:cs="Arial"/>
          <w:sz w:val="26"/>
          <w:szCs w:val="26"/>
          <w:rtl w:val="true"/>
          <w:lang w:val="en-AU"/>
        </w:rPr>
        <w:tab/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1.3.1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وظيفة البوليميراز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9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1.3.2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أنظمة نموذجية لتكرار </w:t>
      </w:r>
      <w:r>
        <w:rPr>
          <w:rFonts w:cs="Arial"/>
          <w:sz w:val="26"/>
          <w:szCs w:val="26"/>
          <w:lang w:val="en-AU"/>
        </w:rPr>
        <w:t>HCV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eastAsia="Times New Roman" w:cs="Arial"/>
          <w:smallCaps/>
          <w:color w:val="00000A"/>
          <w:kern w:val="2"/>
          <w:sz w:val="26"/>
          <w:szCs w:val="26"/>
          <w:lang w:val="en-AU" w:eastAsia="zh-CN" w:bidi="ar-SA"/>
        </w:rPr>
        <w:t>11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1.3.3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دراسات خاصة بالنمط الجيني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1.3.4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الخصائص البيوكيميائية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rFonts w:cs="Arial"/>
          <w:sz w:val="26"/>
          <w:szCs w:val="26"/>
          <w:lang w:val="en-AU"/>
        </w:rPr>
        <w:t>kunjin virus RNA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تعتمد </w:t>
      </w:r>
      <w:r>
        <w:rPr>
          <w:rFonts w:cs="Arial"/>
          <w:sz w:val="26"/>
          <w:szCs w:val="26"/>
          <w:lang w:val="en-AU"/>
        </w:rPr>
        <w:t>RNA polymerase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1.5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الاستنتاج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15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1.6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الأهداف والفرضيات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16</w:t>
      </w:r>
    </w:p>
    <w:p>
      <w:pPr>
        <w:pStyle w:val="PretendTOC"/>
        <w:bidi w:val="1"/>
        <w:jc w:val="left"/>
        <w:rPr>
          <w:rFonts w:cs="Arial"/>
          <w:sz w:val="26"/>
          <w:szCs w:val="26"/>
          <w:lang w:val="en-AU"/>
        </w:rPr>
      </w:pPr>
      <w:r>
        <w:rPr>
          <w:rFonts w:cs="Arial"/>
          <w:sz w:val="26"/>
          <w:szCs w:val="26"/>
          <w:lang w:val="en-AU"/>
        </w:rPr>
        <w:t>2</w:t>
      </w:r>
      <w:r>
        <w:rPr>
          <w:rFonts w:cs="Arial"/>
          <w:sz w:val="26"/>
          <w:szCs w:val="26"/>
          <w:rtl w:val="true"/>
          <w:lang w:val="en-AU"/>
        </w:rPr>
        <w:t xml:space="preserve">. </w:t>
      </w:r>
      <w:r>
        <w:rPr>
          <w:sz w:val="26"/>
          <w:sz w:val="26"/>
          <w:szCs w:val="26"/>
          <w:rtl w:val="true"/>
          <w:lang w:val="en-AU"/>
        </w:rPr>
        <w:t>المواد والأساليب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عينات الأمصال الإيجابية لفيروس التهاب الكبد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استخراج الحمض النووي الريبي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تخليق </w:t>
      </w:r>
      <w:r>
        <w:rPr>
          <w:rFonts w:cs="Arial"/>
          <w:sz w:val="26"/>
          <w:szCs w:val="26"/>
          <w:rtl w:val="true"/>
          <w:lang w:val="en-AU"/>
        </w:rPr>
        <w:t>(</w:t>
      </w:r>
      <w:r>
        <w:rPr>
          <w:sz w:val="26"/>
          <w:sz w:val="26"/>
          <w:szCs w:val="26"/>
          <w:rtl w:val="true"/>
          <w:lang w:val="en-AU"/>
        </w:rPr>
        <w:t>كدنا</w:t>
      </w:r>
      <w:r>
        <w:rPr>
          <w:rFonts w:cs="Arial"/>
          <w:sz w:val="26"/>
          <w:szCs w:val="26"/>
          <w:rtl w:val="true"/>
          <w:lang w:val="en-AU"/>
        </w:rPr>
        <w:t xml:space="preserve">) </w:t>
        <w:tab/>
      </w:r>
      <w:r>
        <w:rPr>
          <w:rFonts w:cs="Arial"/>
          <w:sz w:val="26"/>
          <w:szCs w:val="26"/>
          <w:lang w:val="en-AU"/>
        </w:rPr>
        <w:t>17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تصميم التمهيدي </w:t>
      </w:r>
      <w:r>
        <w:rPr>
          <w:rFonts w:cs="Arial"/>
          <w:sz w:val="26"/>
          <w:szCs w:val="26"/>
          <w:lang w:val="en-AU"/>
        </w:rPr>
        <w:t>HCV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والاستخدام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18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2.5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تفاعل سلسلة البوليميراز المتداخلة </w:t>
      </w:r>
      <w:r>
        <w:rPr>
          <w:rFonts w:cs="Arial"/>
          <w:sz w:val="26"/>
          <w:szCs w:val="26"/>
          <w:rtl w:val="true"/>
          <w:lang w:val="en-AU"/>
        </w:rPr>
        <w:t>(</w:t>
      </w:r>
      <w:r>
        <w:rPr>
          <w:rFonts w:cs="Arial"/>
          <w:sz w:val="26"/>
          <w:szCs w:val="26"/>
          <w:lang w:val="en-AU"/>
        </w:rPr>
        <w:t>nPCR</w:t>
      </w:r>
      <w:r>
        <w:rPr>
          <w:rFonts w:cs="Arial"/>
          <w:sz w:val="26"/>
          <w:szCs w:val="26"/>
          <w:rtl w:val="true"/>
          <w:lang w:val="en-AU"/>
        </w:rPr>
        <w:t xml:space="preserve">) </w:t>
        <w:tab/>
      </w:r>
      <w:r>
        <w:rPr>
          <w:rFonts w:cs="Arial"/>
          <w:sz w:val="26"/>
          <w:szCs w:val="26"/>
          <w:lang w:val="en-AU"/>
        </w:rPr>
        <w:t>21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2.5.1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التفاعل وظروف التدوير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2.5.2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تنقية المنتج </w:t>
      </w:r>
      <w:r>
        <w:rPr>
          <w:rFonts w:cs="Arial"/>
          <w:sz w:val="26"/>
          <w:szCs w:val="26"/>
          <w:lang w:val="en-AU"/>
        </w:rPr>
        <w:t>PCR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2.6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تصور هلام الاغاروز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2.7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تسلسل الحمض النووي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2.8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تسلسل الحمض النووي وتحليل النشوء والتطور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2.9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rFonts w:cs="Arial"/>
          <w:sz w:val="26"/>
          <w:szCs w:val="26"/>
          <w:lang w:val="en-AU"/>
        </w:rPr>
        <w:t>kunjin virus plasmid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2.10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تصميم واستخدام </w:t>
      </w:r>
      <w:r>
        <w:rPr>
          <w:rFonts w:cs="Arial"/>
          <w:sz w:val="26"/>
          <w:szCs w:val="26"/>
          <w:lang w:val="en-AU"/>
        </w:rPr>
        <w:t>KUN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التمهيدي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23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استنساخ منتجات </w:t>
      </w:r>
      <w:r>
        <w:rPr>
          <w:rFonts w:cs="Arial"/>
          <w:sz w:val="26"/>
          <w:szCs w:val="26"/>
          <w:lang w:val="en-AU"/>
        </w:rPr>
        <w:t>PCR</w:t>
      </w:r>
      <w:r>
        <w:rPr>
          <w:rFonts w:cs="Arial"/>
          <w:sz w:val="26"/>
          <w:szCs w:val="26"/>
          <w:rtl w:val="true"/>
          <w:lang w:val="en-AU"/>
        </w:rPr>
        <w:t xml:space="preserve"> </w:t>
        <w:tab/>
      </w:r>
      <w:r>
        <w:rPr>
          <w:rFonts w:cs="Arial"/>
          <w:sz w:val="26"/>
          <w:szCs w:val="26"/>
          <w:lang w:val="en-AU"/>
        </w:rPr>
        <w:t>24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2.11.1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ملخص التقييد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24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2.11.2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الربط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24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2.11.3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التحول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24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2.11.4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مستعمرة </w:t>
      </w:r>
      <w:r>
        <w:rPr>
          <w:rFonts w:cs="Arial"/>
          <w:sz w:val="26"/>
          <w:szCs w:val="26"/>
          <w:lang w:val="en-AU"/>
        </w:rPr>
        <w:t>PCR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24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تعبير البروتين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25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دوديسيل كبريتات الصوديوم </w:t>
      </w:r>
      <w:r>
        <w:rPr>
          <w:rFonts w:cs="Arial"/>
          <w:sz w:val="26"/>
          <w:szCs w:val="26"/>
          <w:rtl w:val="true"/>
          <w:lang w:val="en-AU"/>
        </w:rPr>
        <w:t xml:space="preserve">- </w:t>
      </w:r>
      <w:r>
        <w:rPr>
          <w:sz w:val="26"/>
          <w:sz w:val="26"/>
          <w:szCs w:val="26"/>
          <w:rtl w:val="true"/>
          <w:lang w:val="en-AU"/>
        </w:rPr>
        <w:t xml:space="preserve">بولي أكريلاميد جل الكهربائي </w:t>
      </w:r>
      <w:r>
        <w:rPr>
          <w:rFonts w:cs="Arial"/>
          <w:sz w:val="26"/>
          <w:szCs w:val="26"/>
          <w:rtl w:val="true"/>
          <w:lang w:val="en-AU"/>
        </w:rPr>
        <w:t>(</w:t>
      </w:r>
      <w:r>
        <w:rPr>
          <w:rFonts w:cs="Arial"/>
          <w:sz w:val="26"/>
          <w:szCs w:val="26"/>
          <w:lang w:val="en-AU"/>
        </w:rPr>
        <w:t>SDS-PAGE</w:t>
      </w:r>
      <w:r>
        <w:rPr>
          <w:rFonts w:cs="Arial"/>
          <w:sz w:val="26"/>
          <w:szCs w:val="26"/>
          <w:rtl w:val="true"/>
          <w:lang w:val="en-AU"/>
        </w:rPr>
        <w:t xml:space="preserve">) </w:t>
        <w:tab/>
      </w:r>
      <w:r>
        <w:rPr>
          <w:rFonts w:cs="Arial"/>
          <w:sz w:val="26"/>
          <w:szCs w:val="26"/>
          <w:lang w:val="en-AU"/>
        </w:rPr>
        <w:t>25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لطخة غربية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2.15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استخراج البلازميد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2.16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إنتاج مخزون الخلايا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نتائج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28</w:t>
      </w:r>
    </w:p>
    <w:p>
      <w:pPr>
        <w:pStyle w:val="PretendTOC"/>
        <w:bidi w:val="1"/>
        <w:jc w:val="left"/>
        <w:rPr/>
      </w:pPr>
      <w:r>
        <w:rPr>
          <w:sz w:val="26"/>
          <w:sz w:val="26"/>
          <w:szCs w:val="26"/>
          <w:rtl w:val="true"/>
          <w:lang w:val="en-AU"/>
        </w:rPr>
        <w:t xml:space="preserve">تم تأكيد </w:t>
      </w:r>
      <w:r>
        <w:rPr>
          <w:rFonts w:cs="Arial"/>
          <w:sz w:val="26"/>
          <w:szCs w:val="26"/>
          <w:lang w:val="en-AU"/>
        </w:rPr>
        <w:t>3.1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ثلاثة عشر عينة من </w:t>
      </w:r>
      <w:r>
        <w:rPr>
          <w:rFonts w:cs="Arial"/>
          <w:sz w:val="26"/>
          <w:szCs w:val="26"/>
          <w:lang w:val="en-AU"/>
        </w:rPr>
        <w:t>HCV 5'-UTR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إيجابية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28</w:t>
      </w:r>
    </w:p>
    <w:p>
      <w:pPr>
        <w:pStyle w:val="PretendTOC"/>
        <w:bidi w:val="1"/>
        <w:jc w:val="left"/>
        <w:rPr/>
      </w:pPr>
      <w:r>
        <w:rPr>
          <w:sz w:val="26"/>
          <w:sz w:val="26"/>
          <w:szCs w:val="26"/>
          <w:rtl w:val="true"/>
          <w:lang w:val="en-AU"/>
        </w:rPr>
        <w:t xml:space="preserve">تم تأكيد </w:t>
      </w:r>
      <w:r>
        <w:rPr>
          <w:rFonts w:cs="Arial"/>
          <w:sz w:val="26"/>
          <w:szCs w:val="26"/>
          <w:lang w:val="en-AU"/>
        </w:rPr>
        <w:t>3.2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ثماني عينات لتكون إيجابية لفيروس </w:t>
      </w:r>
      <w:r>
        <w:rPr>
          <w:rFonts w:cs="Arial"/>
          <w:sz w:val="26"/>
          <w:szCs w:val="26"/>
          <w:lang w:val="en-AU"/>
        </w:rPr>
        <w:t>HCV NS5B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28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التسلسل والتحليل الوراثي لـ </w:t>
      </w:r>
      <w:r>
        <w:rPr>
          <w:rFonts w:cs="Arial"/>
          <w:sz w:val="26"/>
          <w:szCs w:val="26"/>
          <w:lang w:val="en-AU"/>
        </w:rPr>
        <w:t>9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عينات إيجابية من </w:t>
      </w:r>
      <w:r>
        <w:rPr>
          <w:rFonts w:cs="Arial"/>
          <w:sz w:val="26"/>
          <w:szCs w:val="26"/>
          <w:lang w:val="en-AU"/>
        </w:rPr>
        <w:t>HCV NS5B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29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تضخيم 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كاملة الطول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3.5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تقييم مجموعة </w:t>
      </w:r>
      <w:r>
        <w:rPr>
          <w:rFonts w:cs="Arial"/>
          <w:sz w:val="26"/>
          <w:szCs w:val="26"/>
          <w:lang w:val="en-AU"/>
        </w:rPr>
        <w:t>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بادئات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3.6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تضخيم 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نصف الطول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34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3.7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تحليل تسلسل </w:t>
      </w:r>
      <w:r>
        <w:rPr>
          <w:rFonts w:cs="Arial"/>
          <w:sz w:val="26"/>
          <w:szCs w:val="26"/>
          <w:lang w:val="en-AU"/>
        </w:rPr>
        <w:t>7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نصف طول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3.8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طريقة بديلة لتخليق </w:t>
      </w:r>
      <w:r>
        <w:rPr>
          <w:rFonts w:cs="Arial"/>
          <w:sz w:val="26"/>
          <w:szCs w:val="26"/>
          <w:rtl w:val="true"/>
          <w:lang w:val="en-AU"/>
        </w:rPr>
        <w:t>(</w:t>
      </w:r>
      <w:r>
        <w:rPr>
          <w:sz w:val="26"/>
          <w:sz w:val="26"/>
          <w:szCs w:val="26"/>
          <w:rtl w:val="true"/>
          <w:lang w:val="en-AU"/>
        </w:rPr>
        <w:t>كدنا</w:t>
      </w:r>
      <w:r>
        <w:rPr>
          <w:rFonts w:cs="Arial"/>
          <w:sz w:val="26"/>
          <w:szCs w:val="26"/>
          <w:rtl w:val="true"/>
          <w:lang w:val="en-AU"/>
        </w:rPr>
        <w:t>)</w:t>
        <w:tab/>
      </w:r>
      <w:r>
        <w:rPr>
          <w:rFonts w:cs="Arial"/>
          <w:sz w:val="26"/>
          <w:szCs w:val="26"/>
          <w:lang w:val="en-AU"/>
        </w:rPr>
        <w:t>37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3.9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يتم تضخيم خمسة 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بواسطة </w:t>
      </w:r>
      <w:r>
        <w:rPr>
          <w:rFonts w:cs="Arial"/>
          <w:sz w:val="26"/>
          <w:szCs w:val="26"/>
          <w:lang w:val="en-AU"/>
        </w:rPr>
        <w:t>nPCR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39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3.10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التسلسل والتحليل الوراثي لخمسة 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كاملة الطول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39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3.11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بناء </w:t>
      </w:r>
      <w:r>
        <w:rPr>
          <w:rFonts w:cs="Arial"/>
          <w:sz w:val="26"/>
          <w:szCs w:val="26"/>
          <w:lang w:val="en-AU"/>
        </w:rPr>
        <w:t>kunjin clone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41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3.12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التعبير البروتيني عن استنساخ </w:t>
      </w:r>
      <w:r>
        <w:rPr>
          <w:rFonts w:cs="Arial"/>
          <w:sz w:val="26"/>
          <w:szCs w:val="26"/>
          <w:lang w:val="en-AU"/>
        </w:rPr>
        <w:t>HCV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و </w:t>
      </w:r>
      <w:r>
        <w:rPr>
          <w:rFonts w:cs="Arial"/>
          <w:sz w:val="26"/>
          <w:szCs w:val="26"/>
          <w:lang w:val="en-AU"/>
        </w:rPr>
        <w:t>KUN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41</w:t>
      </w:r>
    </w:p>
    <w:p>
      <w:pPr>
        <w:pStyle w:val="PretendTOC"/>
        <w:bidi w:val="1"/>
        <w:jc w:val="left"/>
        <w:rPr>
          <w:rFonts w:cs="Arial"/>
          <w:sz w:val="26"/>
          <w:szCs w:val="26"/>
          <w:lang w:val="en-AU"/>
        </w:rPr>
      </w:pPr>
      <w:r>
        <w:rPr>
          <w:rFonts w:cs="Arial"/>
          <w:sz w:val="26"/>
          <w:szCs w:val="26"/>
          <w:lang w:val="en-AU"/>
        </w:rPr>
        <w:t>4</w:t>
      </w:r>
      <w:r>
        <w:rPr>
          <w:rFonts w:cs="Arial"/>
          <w:sz w:val="26"/>
          <w:szCs w:val="26"/>
          <w:rtl w:val="true"/>
          <w:lang w:val="en-AU"/>
        </w:rPr>
        <w:t xml:space="preserve">. </w:t>
      </w:r>
      <w:r>
        <w:rPr>
          <w:sz w:val="26"/>
          <w:sz w:val="26"/>
          <w:szCs w:val="26"/>
          <w:rtl w:val="true"/>
          <w:lang w:val="en-AU"/>
        </w:rPr>
        <w:t>مناقشة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4.1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تم تأكيد سلامة العينة بواسطة </w:t>
      </w:r>
      <w:r>
        <w:rPr>
          <w:rFonts w:cs="Arial"/>
          <w:sz w:val="26"/>
          <w:szCs w:val="26"/>
          <w:lang w:val="en-AU"/>
        </w:rPr>
        <w:t>5</w:t>
      </w:r>
      <w:r>
        <w:rPr>
          <w:rFonts w:cs="Arial"/>
          <w:sz w:val="26"/>
          <w:szCs w:val="26"/>
          <w:rtl w:val="true"/>
          <w:lang w:val="en-AU"/>
        </w:rPr>
        <w:t>'</w:t>
      </w:r>
      <w:r>
        <w:rPr>
          <w:rFonts w:cs="Arial"/>
          <w:sz w:val="26"/>
          <w:szCs w:val="26"/>
          <w:lang w:val="en-AU"/>
        </w:rPr>
        <w:t>UTR nPCR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و </w:t>
      </w:r>
      <w:r>
        <w:rPr>
          <w:rFonts w:cs="Arial"/>
          <w:sz w:val="26"/>
          <w:szCs w:val="26"/>
          <w:lang w:val="en-AU"/>
        </w:rPr>
        <w:t>NS5B nPCR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4.2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طرز وراثية من </w:t>
      </w:r>
      <w:r>
        <w:rPr>
          <w:rFonts w:cs="Arial"/>
          <w:sz w:val="26"/>
          <w:szCs w:val="26"/>
          <w:lang w:val="en-AU"/>
        </w:rPr>
        <w:t>9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عينات أكدها تحليل النشوء والتطور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46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تضخيم 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كاملة الطول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47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4.4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تقييم مجموعة </w:t>
      </w:r>
      <w:r>
        <w:rPr>
          <w:rFonts w:cs="Arial"/>
          <w:sz w:val="26"/>
          <w:szCs w:val="26"/>
          <w:lang w:val="en-AU"/>
        </w:rPr>
        <w:t>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بادئات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48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4.5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تضخيم منتجات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نصف الطول 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49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4.6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طريقة بديلة لتخليق </w:t>
      </w:r>
      <w:r>
        <w:rPr>
          <w:rFonts w:cs="Arial"/>
          <w:sz w:val="26"/>
          <w:szCs w:val="26"/>
          <w:rtl w:val="true"/>
          <w:lang w:val="en-AU"/>
        </w:rPr>
        <w:t>(</w:t>
      </w:r>
      <w:r>
        <w:rPr>
          <w:sz w:val="26"/>
          <w:sz w:val="26"/>
          <w:szCs w:val="26"/>
          <w:rtl w:val="true"/>
          <w:lang w:val="en-AU"/>
        </w:rPr>
        <w:t>كدنا</w:t>
      </w:r>
      <w:r>
        <w:rPr>
          <w:rFonts w:cs="Arial"/>
          <w:sz w:val="26"/>
          <w:szCs w:val="26"/>
          <w:rtl w:val="true"/>
          <w:lang w:val="en-AU"/>
        </w:rPr>
        <w:t>)</w:t>
        <w:tab/>
      </w:r>
      <w:r>
        <w:rPr>
          <w:rFonts w:cs="Arial"/>
          <w:sz w:val="26"/>
          <w:szCs w:val="26"/>
          <w:lang w:val="en-AU"/>
        </w:rPr>
        <w:t>50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4.7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تحليل تسلسل النمط الجيني </w:t>
      </w:r>
      <w:r>
        <w:rPr>
          <w:rFonts w:cs="Arial"/>
          <w:sz w:val="26"/>
          <w:szCs w:val="26"/>
          <w:lang w:val="en-AU"/>
        </w:rPr>
        <w:t>3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أ </w:t>
      </w:r>
      <w:r>
        <w:rPr>
          <w:rFonts w:cs="Arial"/>
          <w:sz w:val="26"/>
          <w:szCs w:val="26"/>
          <w:lang w:val="en-AU"/>
        </w:rPr>
        <w:t>NS5B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من </w:t>
      </w:r>
      <w:r>
        <w:rPr>
          <w:rFonts w:cs="Arial"/>
          <w:sz w:val="26"/>
          <w:szCs w:val="26"/>
          <w:lang w:val="en-AU"/>
        </w:rPr>
        <w:t>HCV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50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4.8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بناء </w:t>
      </w:r>
      <w:r>
        <w:rPr>
          <w:rFonts w:cs="Arial"/>
          <w:sz w:val="26"/>
          <w:szCs w:val="26"/>
          <w:lang w:val="en-AU"/>
        </w:rPr>
        <w:t>kunjin clone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52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4.9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تعبير البروتين عن استنساخ </w:t>
      </w:r>
      <w:r>
        <w:rPr>
          <w:rFonts w:cs="Arial"/>
          <w:sz w:val="26"/>
          <w:szCs w:val="26"/>
          <w:lang w:val="en-AU"/>
        </w:rPr>
        <w:t>HCV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 xml:space="preserve">و </w:t>
      </w:r>
      <w:r>
        <w:rPr>
          <w:rFonts w:cs="Arial"/>
          <w:sz w:val="26"/>
          <w:szCs w:val="26"/>
          <w:lang w:val="en-AU"/>
        </w:rPr>
        <w:t>KUN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52</w:t>
      </w:r>
    </w:p>
    <w:p>
      <w:pPr>
        <w:pStyle w:val="PretendTOC"/>
        <w:bidi w:val="1"/>
        <w:jc w:val="left"/>
        <w:rPr/>
      </w:pPr>
      <w:r>
        <w:rPr>
          <w:rFonts w:cs="Arial"/>
          <w:sz w:val="26"/>
          <w:szCs w:val="26"/>
          <w:lang w:val="en-AU"/>
        </w:rPr>
        <w:t>4.10</w:t>
      </w:r>
      <w:r>
        <w:rPr>
          <w:rFonts w:cs="Arial"/>
          <w:sz w:val="26"/>
          <w:szCs w:val="26"/>
          <w:rtl w:val="true"/>
          <w:lang w:val="en-AU"/>
        </w:rPr>
        <w:t xml:space="preserve"> </w:t>
      </w:r>
      <w:r>
        <w:rPr>
          <w:sz w:val="26"/>
          <w:sz w:val="26"/>
          <w:szCs w:val="26"/>
          <w:rtl w:val="true"/>
          <w:lang w:val="en-AU"/>
        </w:rPr>
        <w:t>التوجهات والاستنتاجات المستقبلية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eastAsia="Times New Roman" w:cs="Arial"/>
          <w:smallCaps/>
          <w:color w:val="00000A"/>
          <w:kern w:val="2"/>
          <w:sz w:val="26"/>
          <w:szCs w:val="26"/>
          <w:lang w:val="en-AU" w:eastAsia="zh-CN" w:bidi="ar-SA"/>
        </w:rPr>
        <w:t>54</w:t>
      </w:r>
    </w:p>
    <w:p>
      <w:pPr>
        <w:pStyle w:val="PretendTOC"/>
        <w:bidi w:val="1"/>
        <w:jc w:val="left"/>
        <w:rPr>
          <w:rFonts w:cs="Arial"/>
          <w:bCs w:val="false"/>
          <w:sz w:val="26"/>
          <w:szCs w:val="26"/>
          <w:lang w:val="en-AU"/>
        </w:rPr>
      </w:pPr>
      <w:r>
        <w:rPr>
          <w:rFonts w:cs="Arial"/>
          <w:sz w:val="26"/>
          <w:szCs w:val="26"/>
          <w:lang w:val="en-AU"/>
        </w:rPr>
        <w:t>5</w:t>
      </w:r>
      <w:r>
        <w:rPr>
          <w:rFonts w:cs="Arial"/>
          <w:sz w:val="26"/>
          <w:szCs w:val="26"/>
          <w:rtl w:val="true"/>
          <w:lang w:val="en-AU"/>
        </w:rPr>
        <w:t xml:space="preserve">. </w:t>
      </w:r>
      <w:r>
        <w:rPr>
          <w:sz w:val="26"/>
          <w:sz w:val="26"/>
          <w:szCs w:val="26"/>
          <w:rtl w:val="true"/>
          <w:lang w:val="en-AU"/>
        </w:rPr>
        <w:t>المراجع</w:t>
      </w:r>
      <w:r>
        <w:rPr>
          <w:rFonts w:cs="Arial"/>
          <w:sz w:val="26"/>
          <w:szCs w:val="26"/>
          <w:rtl w:val="true"/>
          <w:lang w:val="en-AU"/>
        </w:rPr>
        <w:tab/>
      </w:r>
      <w:r>
        <w:rPr>
          <w:rFonts w:cs="Arial"/>
          <w:sz w:val="26"/>
          <w:szCs w:val="26"/>
          <w:lang w:val="en-AU"/>
        </w:rPr>
        <w:t>55</w:t>
      </w:r>
    </w:p>
    <w:p>
      <w:pPr>
        <w:pStyle w:val="Style20"/>
        <w:bidi w:val="1"/>
        <w:spacing w:before="0" w:after="0"/>
        <w:jc w:val="left"/>
        <w:rPr>
          <w:rFonts w:cs="Arial"/>
          <w:bCs w:val="false"/>
          <w:sz w:val="26"/>
          <w:szCs w:val="26"/>
          <w:lang w:val="en-AU"/>
        </w:rPr>
      </w:pPr>
      <w:r>
        <w:rPr>
          <w:rFonts w:cs="Arial"/>
          <w:bCs w:val="false"/>
          <w:sz w:val="26"/>
          <w:szCs w:val="26"/>
          <w:rtl w:val="true"/>
          <w:lang w:val="en-AU"/>
        </w:rPr>
      </w:r>
    </w:p>
    <w:p>
      <w:pPr>
        <w:pStyle w:val="Style20"/>
        <w:bidi w:val="1"/>
        <w:spacing w:before="0" w:after="0"/>
        <w:jc w:val="left"/>
        <w:rPr/>
      </w:pPr>
      <w:r>
        <w:rPr>
          <w:rFonts w:cs="Arial"/>
          <w:bCs w:val="false"/>
          <w:sz w:val="26"/>
          <w:szCs w:val="26"/>
          <w:rtl w:val="true"/>
        </w:rPr>
        <w:t>(</w:t>
      </w:r>
      <w:r>
        <w:rPr>
          <w:bCs w:val="false"/>
          <w:sz w:val="26"/>
          <w:sz w:val="26"/>
          <w:szCs w:val="26"/>
          <w:rtl w:val="true"/>
        </w:rPr>
        <w:t xml:space="preserve">تان ، </w:t>
      </w:r>
      <w:r>
        <w:rPr>
          <w:rFonts w:cs="Arial"/>
          <w:bCs w:val="false"/>
          <w:sz w:val="26"/>
          <w:szCs w:val="26"/>
        </w:rPr>
        <w:t>2004</w:t>
      </w:r>
      <w:r>
        <w:rPr>
          <w:rFonts w:cs="Arial"/>
          <w:bCs w:val="false"/>
          <w:sz w:val="26"/>
          <w:szCs w:val="26"/>
          <w:rtl w:val="true"/>
        </w:rPr>
        <w:t xml:space="preserve"> </w:t>
      </w:r>
      <w:r>
        <w:rPr>
          <w:bCs w:val="false"/>
          <w:sz w:val="26"/>
          <w:sz w:val="26"/>
          <w:szCs w:val="26"/>
          <w:rtl w:val="true"/>
        </w:rPr>
        <w:t xml:space="preserve">، الصفحات من </w:t>
      </w:r>
      <w:r>
        <w:rPr>
          <w:rFonts w:cs="Arial"/>
          <w:bCs w:val="false"/>
          <w:sz w:val="26"/>
          <w:szCs w:val="26"/>
        </w:rPr>
        <w:t>2</w:t>
      </w:r>
      <w:r>
        <w:rPr>
          <w:rFonts w:cs="Arial"/>
          <w:bCs w:val="false"/>
          <w:sz w:val="26"/>
          <w:szCs w:val="26"/>
          <w:rtl w:val="true"/>
        </w:rPr>
        <w:t xml:space="preserve"> </w:t>
      </w:r>
      <w:r>
        <w:rPr>
          <w:bCs w:val="false"/>
          <w:sz w:val="26"/>
          <w:sz w:val="26"/>
          <w:szCs w:val="26"/>
          <w:rtl w:val="true"/>
        </w:rPr>
        <w:t xml:space="preserve">إلى </w:t>
      </w:r>
      <w:r>
        <w:rPr>
          <w:rFonts w:cs="Arial"/>
          <w:bCs w:val="false"/>
          <w:sz w:val="26"/>
          <w:szCs w:val="26"/>
        </w:rPr>
        <w:t>4</w:t>
      </w:r>
      <w:r>
        <w:rPr>
          <w:rFonts w:cs="Arial"/>
          <w:bCs w:val="false"/>
          <w:sz w:val="26"/>
          <w:szCs w:val="26"/>
          <w:rtl w:val="true"/>
        </w:rPr>
        <w:t>)</w:t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2"/>
    <w:family w:val="roman"/>
    <w:pitch w:val="variable"/>
  </w:font>
  <w:font w:name="Arial">
    <w:charset w:val="b2"/>
    <w:family w:val="roman"/>
    <w:pitch w:val="variable"/>
  </w:font>
  <w:font w:name="Times New Roman">
    <w:charset w:val="b2"/>
    <w:family w:val="roman"/>
    <w:pitch w:val="variable"/>
  </w:font>
  <w:font w:name="Symbol">
    <w:charset w:val="b2"/>
    <w:family w:val="roman"/>
    <w:pitch w:val="variable"/>
  </w:font>
  <w:font w:name="Courier New">
    <w:charset w:val="b2"/>
    <w:family w:val="roman"/>
    <w:pitch w:val="variable"/>
  </w:font>
  <w:font w:name="Wingdings">
    <w:charset w:val="b2"/>
    <w:family w:val="roman"/>
    <w:pitch w:val="variable"/>
  </w:font>
  <w:font w:name="Liberation Sans">
    <w:altName w:val="Arial"/>
    <w:charset w:val="b2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Style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Style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Style2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Style3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Style4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Style5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Style6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Style7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Style8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82"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Tahoma"/>
        <w:sz w:val="20"/>
        <w:szCs w:val="24"/>
        <w:lang w:val="en-US" w:eastAsia="zh-CN" w:bidi="ar-EG"/>
      </w:rPr>
    </w:rPrDefault>
    <w:pPrDefault>
      <w:pPr>
        <w:jc w:val="left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00000A"/>
      <w:kern w:val="2"/>
      <w:sz w:val="24"/>
      <w:szCs w:val="24"/>
      <w:lang w:val="en-GB" w:eastAsia="zh-CN" w:bidi="ar-SA"/>
    </w:rPr>
  </w:style>
  <w:style w:type="paragraph" w:styleId="Style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Times New Roman" w:hAnsi="Times New Roman" w:eastAsia="SimSun;宋体" w:cs="Arial"/>
      <w:b/>
      <w:bCs/>
      <w:sz w:val="32"/>
      <w:szCs w:val="32"/>
      <w:lang w:val="en-AU" w:eastAsia="zh-CN"/>
    </w:rPr>
  </w:style>
  <w:style w:type="paragraph" w:styleId="Style1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Times New Roman" w:hAnsi="Times New Roman" w:eastAsia="SimSun;宋体" w:cs="Arial"/>
      <w:b/>
      <w:bCs/>
      <w:i/>
      <w:iCs/>
      <w:sz w:val="28"/>
      <w:szCs w:val="28"/>
      <w:lang w:val="en-AU" w:eastAsia="zh-CN"/>
    </w:rPr>
  </w:style>
  <w:style w:type="paragraph" w:styleId="Style2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Times New Roman" w:hAnsi="Times New Roman" w:eastAsia="SimSun;宋体" w:cs="Arial"/>
      <w:b/>
      <w:bCs/>
      <w:sz w:val="26"/>
      <w:szCs w:val="26"/>
      <w:lang w:val="en-AU" w:eastAsia="zh-CN"/>
    </w:rPr>
  </w:style>
  <w:style w:type="paragraph" w:styleId="Style3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rFonts w:ascii="Times New Roman" w:hAnsi="Times New Roman" w:eastAsia="SimSun;宋体" w:cs="Times New Roman"/>
      <w:b/>
      <w:bCs/>
      <w:sz w:val="28"/>
      <w:szCs w:val="28"/>
      <w:lang w:val="en-AU" w:eastAsia="zh-CN"/>
    </w:rPr>
  </w:style>
  <w:style w:type="paragraph" w:styleId="Style4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rFonts w:ascii="Times New Roman" w:hAnsi="Times New Roman" w:eastAsia="SimSun;宋体" w:cs="Times New Roman"/>
      <w:b/>
      <w:bCs/>
      <w:i/>
      <w:iCs/>
      <w:sz w:val="26"/>
      <w:szCs w:val="26"/>
      <w:lang w:val="en-AU" w:eastAsia="zh-CN"/>
    </w:rPr>
  </w:style>
  <w:style w:type="paragraph" w:styleId="Style5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 w:eastAsia="SimSun;宋体" w:cs="Times New Roman"/>
      <w:b/>
      <w:bCs/>
      <w:sz w:val="22"/>
      <w:szCs w:val="22"/>
      <w:lang w:val="en-AU" w:eastAsia="zh-CN"/>
    </w:rPr>
  </w:style>
  <w:style w:type="paragraph" w:styleId="Style6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 w:eastAsia="SimSun;宋体" w:cs="Times New Roman"/>
      <w:lang w:val="en-AU" w:eastAsia="zh-CN"/>
    </w:rPr>
  </w:style>
  <w:style w:type="paragraph" w:styleId="Style7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Times New Roman" w:hAnsi="Times New Roman" w:eastAsia="SimSun;宋体" w:cs="Times New Roman"/>
      <w:i/>
      <w:iCs/>
      <w:lang w:val="en-AU" w:eastAsia="zh-CN"/>
    </w:rPr>
  </w:style>
  <w:style w:type="paragraph" w:styleId="Style8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eastAsia="SimSun;宋体" w:cs="Arial"/>
      <w:sz w:val="22"/>
      <w:szCs w:val="22"/>
      <w:lang w:val="en-AU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>
      <w:sz w:val="28"/>
      <w:szCs w:val="28"/>
    </w:rPr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>
      <w:rFonts w:ascii="Symbol" w:hAnsi="Symbol" w:eastAsia="SimSun;宋体" w:cs="Times New Roman"/>
    </w:rPr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Wingdings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Wingdings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DefaultParagraphFont">
    <w:name w:val="Default Paragraph Font"/>
    <w:qFormat/>
    <w:rPr/>
  </w:style>
  <w:style w:type="character" w:styleId="Style14">
    <w:name w:val="رابط شابكة"/>
    <w:basedOn w:val="DefaultParagraphFont"/>
    <w:rPr>
      <w:color w:val="0000FF"/>
      <w:u w:val="single"/>
    </w:rPr>
  </w:style>
  <w:style w:type="paragraph" w:styleId="Style15">
    <w:name w:val="عنوان رئيسي"/>
    <w:basedOn w:val="Normal"/>
    <w:next w:val="Style16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Style16">
    <w:name w:val="Body Text"/>
    <w:basedOn w:val="Normal"/>
    <w:pPr>
      <w:spacing w:before="0" w:after="120"/>
    </w:pPr>
    <w:rPr/>
  </w:style>
  <w:style w:type="paragraph" w:styleId="Style17">
    <w:name w:val="List"/>
    <w:basedOn w:val="Style16"/>
    <w:pPr/>
    <w:rPr/>
  </w:style>
  <w:style w:type="paragraph" w:styleId="Style18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Style19">
    <w:name w:val="فهرس"/>
    <w:basedOn w:val="Normal"/>
    <w:qFormat/>
    <w:pPr>
      <w:suppressLineNumbers/>
    </w:pPr>
    <w:rPr/>
  </w:style>
  <w:style w:type="paragraph" w:styleId="StyleHeading1Before0Firstline0">
    <w:name w:val="Style Heading 1 + Before:  0&quot; First line:  0&quot;"/>
    <w:basedOn w:val="Style"/>
    <w:qFormat/>
    <w:pPr>
      <w:numPr>
        <w:ilvl w:val="0"/>
        <w:numId w:val="0"/>
      </w:numPr>
      <w:ind w:left="0" w:right="0" w:hanging="0"/>
    </w:pPr>
    <w:rPr/>
  </w:style>
  <w:style w:type="paragraph" w:styleId="StyleHeading3ArialLinespacingDouble">
    <w:name w:val="Style Heading 3 + Arial Line spacing:  Double"/>
    <w:basedOn w:val="Style2"/>
    <w:qFormat/>
    <w:pPr>
      <w:numPr>
        <w:ilvl w:val="0"/>
        <w:numId w:val="0"/>
      </w:numPr>
      <w:spacing w:lineRule="auto" w:line="480"/>
    </w:pPr>
    <w:rPr/>
  </w:style>
  <w:style w:type="paragraph" w:styleId="Style20">
    <w:name w:val="TOC 1"/>
    <w:basedOn w:val="Normal"/>
    <w:next w:val="Normal"/>
    <w:pPr>
      <w:spacing w:before="120" w:after="120"/>
    </w:pPr>
    <w:rPr>
      <w:rFonts w:eastAsia="SimSun;宋体"/>
      <w:b/>
      <w:bCs/>
      <w:caps/>
      <w:sz w:val="20"/>
      <w:lang w:val="en-AU" w:eastAsia="zh-CN"/>
    </w:rPr>
  </w:style>
  <w:style w:type="paragraph" w:styleId="Style21">
    <w:name w:val="TOC 2"/>
    <w:basedOn w:val="Normal"/>
    <w:next w:val="Normal"/>
    <w:pPr>
      <w:ind w:left="240" w:right="0" w:hanging="0"/>
    </w:pPr>
    <w:rPr>
      <w:rFonts w:ascii="Times New Roman" w:hAnsi="Times New Roman" w:eastAsia="SimSun;宋体" w:cs="Times New Roman"/>
      <w:smallCaps/>
      <w:sz w:val="20"/>
      <w:lang w:val="en-AU" w:eastAsia="zh-CN"/>
    </w:rPr>
  </w:style>
  <w:style w:type="paragraph" w:styleId="Style22">
    <w:name w:val="TOC 4"/>
    <w:basedOn w:val="Normal"/>
    <w:next w:val="Normal"/>
    <w:pPr>
      <w:ind w:left="720" w:right="0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320" w:leader="none"/>
        <w:tab w:val="right" w:pos="8640" w:leader="none"/>
      </w:tabs>
    </w:pPr>
    <w:rPr>
      <w:rFonts w:ascii="Times New Roman" w:hAnsi="Times New Roman" w:eastAsia="SimSun;宋体" w:cs="Times New Roman"/>
      <w:lang w:val="en-AU" w:eastAsia="zh-CN"/>
    </w:rPr>
  </w:style>
  <w:style w:type="paragraph" w:styleId="Preface">
    <w:name w:val="Preface"/>
    <w:basedOn w:val="Normal"/>
    <w:next w:val="Normal"/>
    <w:qFormat/>
    <w:pPr/>
    <w:rPr>
      <w:rFonts w:ascii="Times New Roman" w:hAnsi="Times New Roman" w:eastAsia="SimSun;宋体" w:cs="Times New Roman"/>
      <w:b/>
      <w:bCs/>
      <w:sz w:val="32"/>
      <w:szCs w:val="32"/>
      <w:lang w:val="en-AU" w:eastAsia="zh-CN"/>
    </w:rPr>
  </w:style>
  <w:style w:type="paragraph" w:styleId="Style24">
    <w:name w:val="TOC 3"/>
    <w:basedOn w:val="Normal"/>
    <w:next w:val="Normal"/>
    <w:pPr>
      <w:ind w:left="480" w:right="0" w:hanging="0"/>
    </w:pPr>
    <w:rPr>
      <w:rFonts w:ascii="Times New Roman" w:hAnsi="Times New Roman" w:eastAsia="SimSun;宋体" w:cs="Times New Roman"/>
      <w:i/>
      <w:iCs/>
      <w:sz w:val="20"/>
      <w:lang w:val="en-AU" w:eastAsia="zh-CN"/>
    </w:rPr>
  </w:style>
  <w:style w:type="paragraph" w:styleId="PretendTOC">
    <w:name w:val="PretendTOC"/>
    <w:basedOn w:val="Style16"/>
    <w:qFormat/>
    <w:pPr>
      <w:tabs>
        <w:tab w:val="clear" w:pos="720"/>
        <w:tab w:val="left" w:pos="7371" w:leader="dot"/>
      </w:tabs>
      <w:ind w:left="567" w:right="0" w:hanging="0"/>
    </w:pPr>
    <w:rPr>
      <w:smallCaps/>
      <w:sz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LibreOffice/6.4.0.3$Windows_X86_64 LibreOffice_project/b0a288ab3d2d4774cb44b62f04d5d28733ac6df8</Application>
  <Pages>3</Pages>
  <Words>462</Words>
  <Characters>2087</Characters>
  <CharactersWithSpaces>2511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2015-02-13T14:15:00Z</dcterms:created>
  <dc:creator>s8903625</dc:creator>
  <dc:description/>
  <dc:language>ar-EG</dc:language>
  <cp:lastModifiedBy/>
  <cp:lastPrinted>2007-10-29T10:45:00Z</cp:lastPrinted>
  <dcterms:modified xsi:type="dcterms:W3CDTF">2020-10-29T06:25:05Z</dcterms:modified>
  <cp:revision>5</cp:revision>
  <dc:subject/>
  <dc:title>SAMPLE TABLE OF CONTENTS</dc:title>
</cp:coreProperties>
</file>